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4AA375" w14:textId="77777777" w:rsidR="00077D6E" w:rsidRDefault="00000000" w:rsidP="00B016D6">
      <w:pPr>
        <w:pStyle w:val="Kicker"/>
        <w:spacing w:after="100"/>
        <w:jc w:val="center"/>
        <w:rPr>
          <w:rFonts w:hint="eastAsia"/>
        </w:rPr>
      </w:pPr>
      <w:r>
        <w:rPr>
          <w:b w:val="0"/>
        </w:rPr>
        <w:t>FUNDUSZE EUROPEJSKIE DLA MAZOWSZA 2021-2027</w:t>
      </w:r>
    </w:p>
    <w:p w14:paraId="056DB05A" w14:textId="77777777" w:rsidR="00077D6E" w:rsidRDefault="00000000" w:rsidP="00B016D6">
      <w:pPr>
        <w:spacing w:after="80"/>
        <w:jc w:val="center"/>
        <w:rPr>
          <w:rFonts w:hint="eastAsia"/>
        </w:rPr>
      </w:pPr>
      <w:r>
        <w:rPr>
          <w:b/>
          <w:color w:val="17365D"/>
          <w:sz w:val="50"/>
        </w:rPr>
        <w:t>EKOLOGICZNA MIESZANKA MGS</w:t>
      </w:r>
    </w:p>
    <w:p w14:paraId="5C130F16" w14:textId="77777777" w:rsidR="00077D6E" w:rsidRDefault="00000000" w:rsidP="00B016D6">
      <w:pPr>
        <w:pStyle w:val="Lead"/>
        <w:spacing w:after="200"/>
        <w:jc w:val="center"/>
        <w:rPr>
          <w:rFonts w:hint="eastAsia"/>
        </w:rPr>
      </w:pPr>
      <w:r>
        <w:t>Nowa technologia rehabilitacji podbudów dróg samorządowych</w:t>
      </w:r>
    </w:p>
    <w:p w14:paraId="6236A724" w14:textId="77777777" w:rsidR="00077D6E" w:rsidRDefault="00000000">
      <w:pPr>
        <w:jc w:val="center"/>
        <w:rPr>
          <w:rFonts w:hint="eastAsia"/>
        </w:rPr>
      </w:pPr>
      <w:r>
        <w:rPr>
          <w:noProof/>
        </w:rPr>
        <w:drawing>
          <wp:inline distT="0" distB="0" distL="0" distR="0" wp14:anchorId="50C53E57" wp14:editId="39F57702">
            <wp:extent cx="6408000" cy="2977972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ro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408000" cy="29779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0" w:type="auto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10091"/>
      </w:tblGrid>
      <w:tr w:rsidR="00077D6E" w14:paraId="37FBCE3B" w14:textId="77777777">
        <w:trPr>
          <w:jc w:val="center"/>
        </w:trPr>
        <w:tc>
          <w:tcPr>
            <w:tcW w:w="10091" w:type="dxa"/>
            <w:shd w:val="clear" w:color="auto" w:fill="0067B1"/>
            <w:tcMar>
              <w:top w:w="180" w:type="dxa"/>
              <w:left w:w="220" w:type="dxa"/>
              <w:bottom w:w="180" w:type="dxa"/>
              <w:right w:w="220" w:type="dxa"/>
            </w:tcMar>
          </w:tcPr>
          <w:p w14:paraId="65B6FC59" w14:textId="77777777" w:rsidR="00077D6E" w:rsidRDefault="00000000">
            <w:pPr>
              <w:spacing w:after="0"/>
              <w:rPr>
                <w:rFonts w:hint="eastAsia"/>
              </w:rPr>
            </w:pPr>
            <w:r>
              <w:rPr>
                <w:b/>
                <w:color w:val="FFFFFF"/>
                <w:sz w:val="24"/>
              </w:rPr>
              <w:t>Odpady budowlane wracają do obiegu jako pełnowartościowy składnik trwałej warstwy drogowej.</w:t>
            </w:r>
          </w:p>
        </w:tc>
      </w:tr>
    </w:tbl>
    <w:p w14:paraId="5223767D" w14:textId="77777777" w:rsidR="00077D6E" w:rsidRDefault="00077D6E">
      <w:pPr>
        <w:spacing w:after="0"/>
        <w:rPr>
          <w:rFonts w:hint="eastAsia"/>
        </w:rPr>
      </w:pPr>
    </w:p>
    <w:p w14:paraId="35857712" w14:textId="77777777" w:rsidR="00077D6E" w:rsidRDefault="00000000">
      <w:pPr>
        <w:pStyle w:val="Nagwek2"/>
        <w:spacing w:before="60"/>
      </w:pPr>
      <w:r>
        <w:rPr>
          <w:b w:val="0"/>
        </w:rPr>
        <w:t>Projekt w skrócie</w:t>
      </w:r>
    </w:p>
    <w:p w14:paraId="5C35C953" w14:textId="77777777" w:rsidR="00077D6E" w:rsidRDefault="00000000" w:rsidP="00B016D6">
      <w:pPr>
        <w:jc w:val="both"/>
        <w:rPr>
          <w:rFonts w:hint="eastAsia"/>
        </w:rPr>
      </w:pPr>
      <w:r>
        <w:t>ANODOS Sp. z o.o. zrealizował projekt badawczo-rozwojowy poświęcony opracowaniu mieszanki MGS i kompletnej technologii jej stosowania. Rozwiązanie wykorzystuje kruszywo betonowe i ceglane z recyklingu, granulat gumowy SBR oraz spoiwo hydrauliczne, aby wzmacniać istniejące podłoża i podbudowy dróg lokalnych.</w:t>
      </w:r>
    </w:p>
    <w:tbl>
      <w:tblPr>
        <w:tblW w:w="0" w:type="auto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3364"/>
        <w:gridCol w:w="3364"/>
        <w:gridCol w:w="3364"/>
      </w:tblGrid>
      <w:tr w:rsidR="00077D6E" w14:paraId="5BF8075D" w14:textId="77777777">
        <w:trPr>
          <w:jc w:val="center"/>
        </w:trPr>
        <w:tc>
          <w:tcPr>
            <w:tcW w:w="3364" w:type="dxa"/>
            <w:shd w:val="clear" w:color="auto" w:fill="F3F7F9"/>
            <w:tcMar>
              <w:top w:w="140" w:type="dxa"/>
              <w:left w:w="120" w:type="dxa"/>
              <w:bottom w:w="130" w:type="dxa"/>
              <w:right w:w="120" w:type="dxa"/>
            </w:tcMar>
            <w:vAlign w:val="center"/>
          </w:tcPr>
          <w:p w14:paraId="1679628D" w14:textId="77777777" w:rsidR="00077D6E" w:rsidRDefault="00000000">
            <w:pPr>
              <w:pStyle w:val="Metric"/>
              <w:jc w:val="center"/>
              <w:rPr>
                <w:rFonts w:hint="eastAsia"/>
              </w:rPr>
            </w:pPr>
            <w:r>
              <w:t>6,43 mln zł</w:t>
            </w:r>
          </w:p>
          <w:p w14:paraId="49C67631" w14:textId="77777777" w:rsidR="00077D6E" w:rsidRDefault="00000000">
            <w:pPr>
              <w:pStyle w:val="MetricLabel"/>
              <w:jc w:val="center"/>
              <w:rPr>
                <w:rFonts w:hint="eastAsia"/>
              </w:rPr>
            </w:pPr>
            <w:r>
              <w:t>wartość projektu</w:t>
            </w:r>
          </w:p>
        </w:tc>
        <w:tc>
          <w:tcPr>
            <w:tcW w:w="3364" w:type="dxa"/>
            <w:shd w:val="clear" w:color="auto" w:fill="F3F7F9"/>
            <w:tcMar>
              <w:top w:w="140" w:type="dxa"/>
              <w:left w:w="120" w:type="dxa"/>
              <w:bottom w:w="130" w:type="dxa"/>
              <w:right w:w="120" w:type="dxa"/>
            </w:tcMar>
            <w:vAlign w:val="center"/>
          </w:tcPr>
          <w:p w14:paraId="5DB10DC4" w14:textId="0E0F55DE" w:rsidR="00077D6E" w:rsidRDefault="00000000">
            <w:pPr>
              <w:pStyle w:val="Metric"/>
              <w:jc w:val="center"/>
              <w:rPr>
                <w:rFonts w:hint="eastAsia"/>
              </w:rPr>
            </w:pPr>
            <w:r>
              <w:t>3,</w:t>
            </w:r>
            <w:r w:rsidR="00B016D6">
              <w:t>30</w:t>
            </w:r>
            <w:r>
              <w:t xml:space="preserve"> </w:t>
            </w:r>
            <w:proofErr w:type="spellStart"/>
            <w:r>
              <w:t>mln</w:t>
            </w:r>
            <w:proofErr w:type="spellEnd"/>
            <w:r>
              <w:t xml:space="preserve"> </w:t>
            </w:r>
            <w:proofErr w:type="spellStart"/>
            <w:r>
              <w:t>zł</w:t>
            </w:r>
            <w:proofErr w:type="spellEnd"/>
          </w:p>
          <w:p w14:paraId="6C69FB7B" w14:textId="77777777" w:rsidR="00077D6E" w:rsidRDefault="00000000">
            <w:pPr>
              <w:pStyle w:val="MetricLabel"/>
              <w:jc w:val="center"/>
              <w:rPr>
                <w:rFonts w:hint="eastAsia"/>
              </w:rPr>
            </w:pPr>
            <w:r>
              <w:t>dofinansowanie UE</w:t>
            </w:r>
          </w:p>
        </w:tc>
        <w:tc>
          <w:tcPr>
            <w:tcW w:w="3364" w:type="dxa"/>
            <w:shd w:val="clear" w:color="auto" w:fill="F3F7F9"/>
            <w:tcMar>
              <w:top w:w="140" w:type="dxa"/>
              <w:left w:w="120" w:type="dxa"/>
              <w:bottom w:w="130" w:type="dxa"/>
              <w:right w:w="120" w:type="dxa"/>
            </w:tcMar>
            <w:vAlign w:val="center"/>
          </w:tcPr>
          <w:p w14:paraId="38E19160" w14:textId="77777777" w:rsidR="00077D6E" w:rsidRDefault="00000000">
            <w:pPr>
              <w:pStyle w:val="Metric"/>
              <w:jc w:val="center"/>
              <w:rPr>
                <w:rFonts w:hint="eastAsia"/>
              </w:rPr>
            </w:pPr>
            <w:r>
              <w:t>TRL VIII</w:t>
            </w:r>
          </w:p>
          <w:p w14:paraId="4092D4BC" w14:textId="77777777" w:rsidR="00077D6E" w:rsidRDefault="00000000">
            <w:pPr>
              <w:pStyle w:val="MetricLabel"/>
              <w:jc w:val="center"/>
              <w:rPr>
                <w:rFonts w:hint="eastAsia"/>
              </w:rPr>
            </w:pPr>
            <w:r>
              <w:t>gotowość technologii</w:t>
            </w:r>
          </w:p>
        </w:tc>
      </w:tr>
    </w:tbl>
    <w:p w14:paraId="553F572C" w14:textId="77777777" w:rsidR="00077D6E" w:rsidRDefault="00077D6E">
      <w:pPr>
        <w:spacing w:after="20"/>
        <w:rPr>
          <w:rFonts w:hint="eastAsia"/>
        </w:rPr>
      </w:pPr>
    </w:p>
    <w:p w14:paraId="7A000B66" w14:textId="77777777" w:rsidR="00077D6E" w:rsidRDefault="00000000">
      <w:pPr>
        <w:pStyle w:val="Small"/>
        <w:spacing w:after="100"/>
        <w:jc w:val="center"/>
        <w:rPr>
          <w:rFonts w:hint="eastAsia"/>
        </w:rPr>
      </w:pPr>
      <w:r>
        <w:t>Projekt nr FEMA.01.01-IP.01-02HK/24  |  Realizacja: 01.01.2025-31.05.2026</w:t>
      </w:r>
    </w:p>
    <w:p w14:paraId="6EC22EC7" w14:textId="77777777" w:rsidR="00077D6E" w:rsidRDefault="00000000">
      <w:pPr>
        <w:jc w:val="center"/>
        <w:rPr>
          <w:rFonts w:hint="eastAsia"/>
        </w:rPr>
      </w:pPr>
      <w:r>
        <w:rPr>
          <w:noProof/>
        </w:rPr>
        <w:drawing>
          <wp:inline distT="0" distB="0" distL="0" distR="0" wp14:anchorId="18E354AE" wp14:editId="64345F97">
            <wp:extent cx="6192000" cy="77655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52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92000" cy="776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8989B2" w14:textId="77777777" w:rsidR="00077D6E" w:rsidRDefault="00000000">
      <w:pPr>
        <w:pStyle w:val="Small"/>
        <w:spacing w:after="0"/>
        <w:jc w:val="center"/>
        <w:rPr>
          <w:rFonts w:hint="eastAsia"/>
        </w:rPr>
      </w:pPr>
      <w:r>
        <w:t>Projekt współfinansowany z Europejskiego Funduszu Rozwoju Regionalnego w ramach programu Fundusze Europejskie dla Mazowsza 2021-2027.</w:t>
      </w:r>
    </w:p>
    <w:p w14:paraId="79743FD0" w14:textId="77777777" w:rsidR="00077D6E" w:rsidRDefault="00000000">
      <w:pPr>
        <w:rPr>
          <w:rFonts w:hint="eastAsia"/>
        </w:rPr>
      </w:pPr>
      <w:r>
        <w:br w:type="page"/>
      </w:r>
    </w:p>
    <w:p w14:paraId="7BC0F9B5" w14:textId="77777777" w:rsidR="00077D6E" w:rsidRDefault="00000000">
      <w:pPr>
        <w:pStyle w:val="Kicker"/>
        <w:rPr>
          <w:rFonts w:hint="eastAsia"/>
        </w:rPr>
      </w:pPr>
      <w:r>
        <w:rPr>
          <w:b w:val="0"/>
        </w:rPr>
        <w:lastRenderedPageBreak/>
        <w:t>OD POMYSŁU DO TECHNOLOGII</w:t>
      </w:r>
    </w:p>
    <w:p w14:paraId="35388B5E" w14:textId="77777777" w:rsidR="00077D6E" w:rsidRDefault="00000000">
      <w:pPr>
        <w:spacing w:after="80"/>
        <w:rPr>
          <w:rFonts w:hint="eastAsia"/>
        </w:rPr>
      </w:pPr>
      <w:r>
        <w:rPr>
          <w:b/>
          <w:color w:val="17365D"/>
          <w:sz w:val="50"/>
        </w:rPr>
        <w:t>Trzy etapy prac B+R</w:t>
      </w:r>
    </w:p>
    <w:p w14:paraId="55475D4E" w14:textId="77777777" w:rsidR="00077D6E" w:rsidRDefault="00000000">
      <w:pPr>
        <w:pStyle w:val="Lead"/>
        <w:spacing w:after="200"/>
        <w:rPr>
          <w:rFonts w:hint="eastAsia"/>
        </w:rPr>
      </w:pPr>
      <w:r>
        <w:t>Badania prowadzono stopniowo: od charakterystyki materiałów i receptur po demonstrację w skali technicznej.</w:t>
      </w:r>
    </w:p>
    <w:tbl>
      <w:tblPr>
        <w:tblW w:w="0" w:type="auto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1020"/>
        <w:gridCol w:w="3969"/>
        <w:gridCol w:w="5102"/>
        <w:gridCol w:w="80"/>
      </w:tblGrid>
      <w:tr w:rsidR="00077D6E" w14:paraId="34AFD34F" w14:textId="77777777">
        <w:trPr>
          <w:jc w:val="center"/>
        </w:trPr>
        <w:tc>
          <w:tcPr>
            <w:tcW w:w="4989" w:type="dxa"/>
            <w:gridSpan w:val="2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DD3501B" w14:textId="77777777" w:rsidR="00077D6E" w:rsidRDefault="00000000">
            <w:pPr>
              <w:jc w:val="center"/>
              <w:rPr>
                <w:rFonts w:hint="eastAsia"/>
              </w:rPr>
            </w:pPr>
            <w:r>
              <w:rPr>
                <w:noProof/>
              </w:rPr>
              <w:drawing>
                <wp:inline distT="0" distB="0" distL="0" distR="0" wp14:anchorId="48440F87" wp14:editId="7614888E">
                  <wp:extent cx="2916000" cy="2003815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ab1.jpg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6000" cy="20038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EB4DC53" w14:textId="77777777" w:rsidR="00077D6E" w:rsidRDefault="00000000">
            <w:pPr>
              <w:pStyle w:val="Small"/>
              <w:jc w:val="center"/>
              <w:rPr>
                <w:rFonts w:hint="eastAsia"/>
              </w:rPr>
            </w:pPr>
            <w:r>
              <w:t>Badania wytrzymałości na ściskanie</w:t>
            </w:r>
          </w:p>
        </w:tc>
        <w:tc>
          <w:tcPr>
            <w:tcW w:w="4989" w:type="dxa"/>
            <w:gridSpan w:val="2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B751EB1" w14:textId="77777777" w:rsidR="00077D6E" w:rsidRDefault="00000000">
            <w:pPr>
              <w:jc w:val="center"/>
              <w:rPr>
                <w:rFonts w:hint="eastAsia"/>
              </w:rPr>
            </w:pPr>
            <w:r>
              <w:rPr>
                <w:noProof/>
              </w:rPr>
              <w:drawing>
                <wp:inline distT="0" distB="0" distL="0" distR="0" wp14:anchorId="0CC7999D" wp14:editId="605CD069">
                  <wp:extent cx="2916000" cy="2010909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ab2.jpg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6000" cy="20109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7272B2A" w14:textId="77777777" w:rsidR="00077D6E" w:rsidRDefault="00000000">
            <w:pPr>
              <w:pStyle w:val="Small"/>
              <w:jc w:val="center"/>
              <w:rPr>
                <w:rFonts w:hint="eastAsia"/>
              </w:rPr>
            </w:pPr>
            <w:r>
              <w:t>Ocena materiałów i składu mieszanki</w:t>
            </w:r>
          </w:p>
        </w:tc>
      </w:tr>
      <w:tr w:rsidR="00077D6E" w14:paraId="757B0507" w14:textId="77777777">
        <w:trPr>
          <w:gridAfter w:val="1"/>
          <w:wAfter w:w="80" w:type="dxa"/>
          <w:jc w:val="center"/>
        </w:trPr>
        <w:tc>
          <w:tcPr>
            <w:tcW w:w="1020" w:type="dxa"/>
            <w:shd w:val="clear" w:color="auto" w:fill="0067B1"/>
            <w:tcMar>
              <w:top w:w="130" w:type="dxa"/>
              <w:left w:w="160" w:type="dxa"/>
              <w:bottom w:w="130" w:type="dxa"/>
              <w:right w:w="160" w:type="dxa"/>
            </w:tcMar>
            <w:vAlign w:val="center"/>
          </w:tcPr>
          <w:p w14:paraId="584A4AA6" w14:textId="77777777" w:rsidR="00077D6E" w:rsidRDefault="00000000">
            <w:pPr>
              <w:jc w:val="center"/>
              <w:rPr>
                <w:rFonts w:hint="eastAsia"/>
              </w:rPr>
            </w:pPr>
            <w:r>
              <w:rPr>
                <w:b/>
                <w:color w:val="FFFFFF"/>
                <w:sz w:val="36"/>
              </w:rPr>
              <w:t>01</w:t>
            </w:r>
          </w:p>
        </w:tc>
        <w:tc>
          <w:tcPr>
            <w:tcW w:w="9071" w:type="dxa"/>
            <w:gridSpan w:val="2"/>
            <w:shd w:val="clear" w:color="auto" w:fill="F3F7F9"/>
            <w:tcMar>
              <w:top w:w="130" w:type="dxa"/>
              <w:left w:w="160" w:type="dxa"/>
              <w:bottom w:w="130" w:type="dxa"/>
              <w:right w:w="160" w:type="dxa"/>
            </w:tcMar>
            <w:vAlign w:val="center"/>
          </w:tcPr>
          <w:p w14:paraId="351EB10D" w14:textId="77777777" w:rsidR="00077D6E" w:rsidRDefault="00000000">
            <w:pPr>
              <w:rPr>
                <w:rFonts w:hint="eastAsia"/>
              </w:rPr>
            </w:pPr>
            <w:r>
              <w:rPr>
                <w:b/>
                <w:color w:val="17365D"/>
                <w:sz w:val="22"/>
              </w:rPr>
              <w:t>Badania laboratoryjne</w:t>
            </w:r>
            <w:r>
              <w:rPr>
                <w:b/>
                <w:color w:val="17365D"/>
                <w:sz w:val="22"/>
              </w:rPr>
              <w:br/>
            </w:r>
            <w:r>
              <w:t>Scharakteryzowano materiały wsadowe, zaprojektowano warianty receptur i określono zależności między składem, wilgotnością, zagęszczalnością i wytrzymałością.</w:t>
            </w:r>
          </w:p>
        </w:tc>
      </w:tr>
    </w:tbl>
    <w:p w14:paraId="0B7CDE6C" w14:textId="77777777" w:rsidR="00077D6E" w:rsidRDefault="00077D6E">
      <w:pPr>
        <w:spacing w:after="0"/>
        <w:rPr>
          <w:rFonts w:hint="eastAsia"/>
        </w:rPr>
      </w:pPr>
    </w:p>
    <w:tbl>
      <w:tblPr>
        <w:tblW w:w="0" w:type="auto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1020"/>
        <w:gridCol w:w="9071"/>
      </w:tblGrid>
      <w:tr w:rsidR="00077D6E" w14:paraId="72F69A27" w14:textId="77777777">
        <w:trPr>
          <w:jc w:val="center"/>
        </w:trPr>
        <w:tc>
          <w:tcPr>
            <w:tcW w:w="1020" w:type="dxa"/>
            <w:shd w:val="clear" w:color="auto" w:fill="0067B1"/>
            <w:tcMar>
              <w:top w:w="130" w:type="dxa"/>
              <w:left w:w="160" w:type="dxa"/>
              <w:bottom w:w="130" w:type="dxa"/>
              <w:right w:w="160" w:type="dxa"/>
            </w:tcMar>
            <w:vAlign w:val="center"/>
          </w:tcPr>
          <w:p w14:paraId="506D98E5" w14:textId="77777777" w:rsidR="00077D6E" w:rsidRDefault="00000000">
            <w:pPr>
              <w:jc w:val="center"/>
              <w:rPr>
                <w:rFonts w:hint="eastAsia"/>
              </w:rPr>
            </w:pPr>
            <w:r>
              <w:rPr>
                <w:b/>
                <w:color w:val="FFFFFF"/>
                <w:sz w:val="36"/>
              </w:rPr>
              <w:t>02</w:t>
            </w:r>
          </w:p>
        </w:tc>
        <w:tc>
          <w:tcPr>
            <w:tcW w:w="9071" w:type="dxa"/>
            <w:shd w:val="clear" w:color="auto" w:fill="F3F7F9"/>
            <w:tcMar>
              <w:top w:w="130" w:type="dxa"/>
              <w:left w:w="160" w:type="dxa"/>
              <w:bottom w:w="130" w:type="dxa"/>
              <w:right w:w="160" w:type="dxa"/>
            </w:tcMar>
            <w:vAlign w:val="center"/>
          </w:tcPr>
          <w:p w14:paraId="178F63DC" w14:textId="77777777" w:rsidR="00077D6E" w:rsidRDefault="00000000">
            <w:pPr>
              <w:rPr>
                <w:rFonts w:hint="eastAsia"/>
              </w:rPr>
            </w:pPr>
            <w:r>
              <w:rPr>
                <w:b/>
                <w:color w:val="17365D"/>
                <w:sz w:val="22"/>
              </w:rPr>
              <w:t>Poletka badawcze</w:t>
            </w:r>
            <w:r>
              <w:rPr>
                <w:b/>
                <w:color w:val="17365D"/>
                <w:sz w:val="22"/>
              </w:rPr>
              <w:br/>
            </w:r>
            <w:r>
              <w:t>Zweryfikowano 15 wariantów w warunkach półtechnologicznych. Wyniki pozwoliły wybrać dwie recepty o najwyższej powtarzalności: MGS/BC1/50/KM oraz MGS/BC1/50/KMDB.</w:t>
            </w:r>
          </w:p>
        </w:tc>
      </w:tr>
    </w:tbl>
    <w:p w14:paraId="7984C2F3" w14:textId="77777777" w:rsidR="00077D6E" w:rsidRDefault="00077D6E">
      <w:pPr>
        <w:spacing w:after="0"/>
        <w:rPr>
          <w:rFonts w:hint="eastAsia"/>
        </w:rPr>
      </w:pPr>
    </w:p>
    <w:tbl>
      <w:tblPr>
        <w:tblW w:w="0" w:type="auto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1020"/>
        <w:gridCol w:w="9071"/>
      </w:tblGrid>
      <w:tr w:rsidR="00077D6E" w14:paraId="6DAC4353" w14:textId="77777777">
        <w:trPr>
          <w:jc w:val="center"/>
        </w:trPr>
        <w:tc>
          <w:tcPr>
            <w:tcW w:w="1020" w:type="dxa"/>
            <w:shd w:val="clear" w:color="auto" w:fill="0067B1"/>
            <w:tcMar>
              <w:top w:w="130" w:type="dxa"/>
              <w:left w:w="160" w:type="dxa"/>
              <w:bottom w:w="130" w:type="dxa"/>
              <w:right w:w="160" w:type="dxa"/>
            </w:tcMar>
            <w:vAlign w:val="center"/>
          </w:tcPr>
          <w:p w14:paraId="7537DCFC" w14:textId="77777777" w:rsidR="00077D6E" w:rsidRDefault="00000000">
            <w:pPr>
              <w:jc w:val="center"/>
              <w:rPr>
                <w:rFonts w:hint="eastAsia"/>
              </w:rPr>
            </w:pPr>
            <w:r>
              <w:rPr>
                <w:b/>
                <w:color w:val="FFFFFF"/>
                <w:sz w:val="36"/>
              </w:rPr>
              <w:t>03</w:t>
            </w:r>
          </w:p>
        </w:tc>
        <w:tc>
          <w:tcPr>
            <w:tcW w:w="9071" w:type="dxa"/>
            <w:shd w:val="clear" w:color="auto" w:fill="F3F7F9"/>
            <w:tcMar>
              <w:top w:w="130" w:type="dxa"/>
              <w:left w:w="160" w:type="dxa"/>
              <w:bottom w:w="130" w:type="dxa"/>
              <w:right w:w="160" w:type="dxa"/>
            </w:tcMar>
            <w:vAlign w:val="center"/>
          </w:tcPr>
          <w:p w14:paraId="7B25A15C" w14:textId="77777777" w:rsidR="00077D6E" w:rsidRDefault="00000000">
            <w:pPr>
              <w:rPr>
                <w:rFonts w:hint="eastAsia"/>
              </w:rPr>
            </w:pPr>
            <w:r>
              <w:rPr>
                <w:b/>
                <w:color w:val="17365D"/>
                <w:sz w:val="22"/>
              </w:rPr>
              <w:t>Odcinki demonstracyjne</w:t>
            </w:r>
            <w:r>
              <w:rPr>
                <w:b/>
                <w:color w:val="17365D"/>
                <w:sz w:val="22"/>
              </w:rPr>
              <w:br/>
            </w:r>
            <w:r>
              <w:t>Technologię sprawdzono na 20 odcinkach, dla dwóch recept, dwóch wariantów grubości i pięciu typów podłoża lub istniejącej konstrukcji.</w:t>
            </w:r>
          </w:p>
        </w:tc>
      </w:tr>
    </w:tbl>
    <w:p w14:paraId="049FBF91" w14:textId="77777777" w:rsidR="00077D6E" w:rsidRDefault="00077D6E">
      <w:pPr>
        <w:spacing w:after="0"/>
        <w:rPr>
          <w:rFonts w:hint="eastAsia"/>
        </w:rPr>
      </w:pPr>
    </w:p>
    <w:tbl>
      <w:tblPr>
        <w:tblW w:w="0" w:type="auto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10091"/>
      </w:tblGrid>
      <w:tr w:rsidR="00077D6E" w14:paraId="24C31D91" w14:textId="77777777">
        <w:trPr>
          <w:jc w:val="center"/>
        </w:trPr>
        <w:tc>
          <w:tcPr>
            <w:tcW w:w="10091" w:type="dxa"/>
            <w:shd w:val="clear" w:color="auto" w:fill="DDEBF2"/>
            <w:tcMar>
              <w:top w:w="180" w:type="dxa"/>
              <w:left w:w="220" w:type="dxa"/>
              <w:bottom w:w="180" w:type="dxa"/>
              <w:right w:w="220" w:type="dxa"/>
            </w:tcMar>
          </w:tcPr>
          <w:p w14:paraId="7F84CD40" w14:textId="77777777" w:rsidR="00077D6E" w:rsidRDefault="00000000">
            <w:pPr>
              <w:spacing w:after="0"/>
              <w:rPr>
                <w:rFonts w:hint="eastAsia"/>
              </w:rPr>
            </w:pPr>
            <w:r>
              <w:rPr>
                <w:b/>
                <w:color w:val="17365D"/>
                <w:sz w:val="21"/>
              </w:rPr>
              <w:t>Klucz projektu: technologia była oceniana jako cały system - materiał, recepta, produkcja, wbudowanie, zagęszczanie, kontrola jakości i rezultat użytkowy.</w:t>
            </w:r>
          </w:p>
        </w:tc>
      </w:tr>
    </w:tbl>
    <w:p w14:paraId="6C520D54" w14:textId="77777777" w:rsidR="00077D6E" w:rsidRDefault="00077D6E">
      <w:pPr>
        <w:spacing w:after="0"/>
        <w:rPr>
          <w:rFonts w:hint="eastAsia"/>
        </w:rPr>
      </w:pPr>
    </w:p>
    <w:p w14:paraId="22D63E90" w14:textId="77777777" w:rsidR="00077D6E" w:rsidRDefault="00000000">
      <w:pPr>
        <w:rPr>
          <w:rFonts w:hint="eastAsia"/>
        </w:rPr>
      </w:pPr>
      <w:r>
        <w:br w:type="page"/>
      </w:r>
    </w:p>
    <w:p w14:paraId="102AD549" w14:textId="77777777" w:rsidR="00077D6E" w:rsidRDefault="00000000">
      <w:pPr>
        <w:pStyle w:val="Kicker"/>
        <w:rPr>
          <w:rFonts w:hint="eastAsia"/>
        </w:rPr>
      </w:pPr>
      <w:r>
        <w:rPr>
          <w:b w:val="0"/>
        </w:rPr>
        <w:lastRenderedPageBreak/>
        <w:t>WYNIKI, KTÓRE POTWIERDZAJĄ SKUTECZNOŚĆ</w:t>
      </w:r>
    </w:p>
    <w:p w14:paraId="5645031F" w14:textId="77777777" w:rsidR="00077D6E" w:rsidRDefault="00000000">
      <w:pPr>
        <w:spacing w:after="80"/>
        <w:rPr>
          <w:rFonts w:hint="eastAsia"/>
        </w:rPr>
      </w:pPr>
      <w:r>
        <w:rPr>
          <w:b/>
          <w:color w:val="17365D"/>
          <w:sz w:val="50"/>
        </w:rPr>
        <w:t>Technologia sprawdzona w skali technicznej</w:t>
      </w:r>
    </w:p>
    <w:p w14:paraId="30959F8B" w14:textId="77777777" w:rsidR="00077D6E" w:rsidRDefault="00000000">
      <w:pPr>
        <w:pStyle w:val="Lead"/>
        <w:spacing w:after="200"/>
        <w:rPr>
          <w:rFonts w:hint="eastAsia"/>
        </w:rPr>
      </w:pPr>
      <w:r>
        <w:t>Wszystkie 20 odcinków demonstracyjnych spełniło sześć przyjętych kryteriów odbiorowych.</w:t>
      </w:r>
    </w:p>
    <w:tbl>
      <w:tblPr>
        <w:tblW w:w="0" w:type="auto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3364"/>
        <w:gridCol w:w="1625"/>
        <w:gridCol w:w="1739"/>
        <w:gridCol w:w="3364"/>
        <w:gridCol w:w="39"/>
      </w:tblGrid>
      <w:tr w:rsidR="00077D6E" w14:paraId="625A5B2D" w14:textId="77777777">
        <w:trPr>
          <w:jc w:val="center"/>
        </w:trPr>
        <w:tc>
          <w:tcPr>
            <w:tcW w:w="4989" w:type="dxa"/>
            <w:gridSpan w:val="2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71664D2" w14:textId="77777777" w:rsidR="00077D6E" w:rsidRDefault="00000000">
            <w:pPr>
              <w:jc w:val="center"/>
              <w:rPr>
                <w:rFonts w:hint="eastAsia"/>
              </w:rPr>
            </w:pPr>
            <w:r>
              <w:rPr>
                <w:noProof/>
              </w:rPr>
              <w:drawing>
                <wp:inline distT="0" distB="0" distL="0" distR="0" wp14:anchorId="63B424B5" wp14:editId="10F1286C">
                  <wp:extent cx="2916000" cy="1876734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ield1.jpg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6000" cy="18767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126B783" w14:textId="77777777" w:rsidR="00077D6E" w:rsidRDefault="00000000">
            <w:pPr>
              <w:pStyle w:val="Small"/>
              <w:jc w:val="center"/>
              <w:rPr>
                <w:rFonts w:hint="eastAsia"/>
              </w:rPr>
            </w:pPr>
            <w:r>
              <w:t>Produkcja i przygotowanie mieszanki</w:t>
            </w:r>
          </w:p>
        </w:tc>
        <w:tc>
          <w:tcPr>
            <w:tcW w:w="4989" w:type="dxa"/>
            <w:gridSpan w:val="3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55AF3BC" w14:textId="77777777" w:rsidR="00077D6E" w:rsidRDefault="00000000">
            <w:pPr>
              <w:jc w:val="center"/>
              <w:rPr>
                <w:rFonts w:hint="eastAsia"/>
              </w:rPr>
            </w:pPr>
            <w:r>
              <w:rPr>
                <w:noProof/>
              </w:rPr>
              <w:drawing>
                <wp:inline distT="0" distB="0" distL="0" distR="0" wp14:anchorId="0EA86398" wp14:editId="6D018613">
                  <wp:extent cx="2916000" cy="1876734"/>
                  <wp:effectExtent l="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ield2.jpg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6000" cy="18767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D453049" w14:textId="77777777" w:rsidR="00077D6E" w:rsidRDefault="00000000">
            <w:pPr>
              <w:pStyle w:val="Small"/>
              <w:jc w:val="center"/>
              <w:rPr>
                <w:rFonts w:hint="eastAsia"/>
              </w:rPr>
            </w:pPr>
            <w:r>
              <w:t>Wbudowanie i profilowanie warstwy</w:t>
            </w:r>
          </w:p>
        </w:tc>
      </w:tr>
      <w:tr w:rsidR="00077D6E" w14:paraId="153FF76E" w14:textId="77777777">
        <w:trPr>
          <w:gridAfter w:val="1"/>
          <w:wAfter w:w="39" w:type="dxa"/>
          <w:jc w:val="center"/>
        </w:trPr>
        <w:tc>
          <w:tcPr>
            <w:tcW w:w="3364" w:type="dxa"/>
            <w:shd w:val="clear" w:color="auto" w:fill="F3F7F9"/>
            <w:tcMar>
              <w:top w:w="140" w:type="dxa"/>
              <w:left w:w="120" w:type="dxa"/>
              <w:bottom w:w="130" w:type="dxa"/>
              <w:right w:w="120" w:type="dxa"/>
            </w:tcMar>
            <w:vAlign w:val="center"/>
          </w:tcPr>
          <w:p w14:paraId="3F68B486" w14:textId="77777777" w:rsidR="00077D6E" w:rsidRDefault="00000000">
            <w:pPr>
              <w:pStyle w:val="Metric"/>
              <w:jc w:val="center"/>
              <w:rPr>
                <w:rFonts w:hint="eastAsia"/>
              </w:rPr>
            </w:pPr>
            <w:r>
              <w:t>20/20</w:t>
            </w:r>
          </w:p>
          <w:p w14:paraId="2EE25717" w14:textId="77777777" w:rsidR="00077D6E" w:rsidRDefault="00000000">
            <w:pPr>
              <w:pStyle w:val="MetricLabel"/>
              <w:jc w:val="center"/>
              <w:rPr>
                <w:rFonts w:hint="eastAsia"/>
              </w:rPr>
            </w:pPr>
            <w:r>
              <w:t>odcinków zgodnych</w:t>
            </w:r>
          </w:p>
        </w:tc>
        <w:tc>
          <w:tcPr>
            <w:tcW w:w="3364" w:type="dxa"/>
            <w:gridSpan w:val="2"/>
            <w:shd w:val="clear" w:color="auto" w:fill="F3F7F9"/>
            <w:tcMar>
              <w:top w:w="140" w:type="dxa"/>
              <w:left w:w="120" w:type="dxa"/>
              <w:bottom w:w="130" w:type="dxa"/>
              <w:right w:w="120" w:type="dxa"/>
            </w:tcMar>
            <w:vAlign w:val="center"/>
          </w:tcPr>
          <w:p w14:paraId="3C33E21A" w14:textId="77777777" w:rsidR="00077D6E" w:rsidRDefault="00000000">
            <w:pPr>
              <w:pStyle w:val="Metric"/>
              <w:jc w:val="center"/>
              <w:rPr>
                <w:rFonts w:hint="eastAsia"/>
              </w:rPr>
            </w:pPr>
            <w:r>
              <w:t>2</w:t>
            </w:r>
          </w:p>
          <w:p w14:paraId="2D75C3A2" w14:textId="77777777" w:rsidR="00077D6E" w:rsidRDefault="00000000">
            <w:pPr>
              <w:pStyle w:val="MetricLabel"/>
              <w:jc w:val="center"/>
              <w:rPr>
                <w:rFonts w:hint="eastAsia"/>
              </w:rPr>
            </w:pPr>
            <w:r>
              <w:t>recepty docelowe</w:t>
            </w:r>
          </w:p>
        </w:tc>
        <w:tc>
          <w:tcPr>
            <w:tcW w:w="3364" w:type="dxa"/>
            <w:shd w:val="clear" w:color="auto" w:fill="F3F7F9"/>
            <w:tcMar>
              <w:top w:w="140" w:type="dxa"/>
              <w:left w:w="120" w:type="dxa"/>
              <w:bottom w:w="130" w:type="dxa"/>
              <w:right w:w="120" w:type="dxa"/>
            </w:tcMar>
            <w:vAlign w:val="center"/>
          </w:tcPr>
          <w:p w14:paraId="19DEDC92" w14:textId="77777777" w:rsidR="00077D6E" w:rsidRDefault="00000000">
            <w:pPr>
              <w:pStyle w:val="Metric"/>
              <w:jc w:val="center"/>
              <w:rPr>
                <w:rFonts w:hint="eastAsia"/>
              </w:rPr>
            </w:pPr>
            <w:r>
              <w:t>5</w:t>
            </w:r>
          </w:p>
          <w:p w14:paraId="15C081CB" w14:textId="77777777" w:rsidR="00077D6E" w:rsidRDefault="00000000">
            <w:pPr>
              <w:pStyle w:val="MetricLabel"/>
              <w:jc w:val="center"/>
              <w:rPr>
                <w:rFonts w:hint="eastAsia"/>
              </w:rPr>
            </w:pPr>
            <w:r>
              <w:t>typów podłoża</w:t>
            </w:r>
          </w:p>
        </w:tc>
      </w:tr>
    </w:tbl>
    <w:p w14:paraId="5203F0A8" w14:textId="77777777" w:rsidR="00077D6E" w:rsidRDefault="00077D6E">
      <w:pPr>
        <w:spacing w:after="20"/>
        <w:rPr>
          <w:rFonts w:hint="eastAsia"/>
        </w:rPr>
      </w:pPr>
    </w:p>
    <w:p w14:paraId="7C34319F" w14:textId="77777777" w:rsidR="00077D6E" w:rsidRDefault="00000000">
      <w:pPr>
        <w:pStyle w:val="Nagwek2"/>
        <w:spacing w:before="80"/>
      </w:pPr>
      <w:r>
        <w:rPr>
          <w:b w:val="0"/>
        </w:rPr>
        <w:t>Zakres wyników uzyskanych na odcinkach demonstracyjnych</w:t>
      </w:r>
    </w:p>
    <w:tbl>
      <w:tblPr>
        <w:tblStyle w:val="Tabela-Siatk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535"/>
        <w:gridCol w:w="3421"/>
        <w:gridCol w:w="3421"/>
      </w:tblGrid>
      <w:tr w:rsidR="00077D6E" w14:paraId="6C70CFCC" w14:textId="77777777">
        <w:trPr>
          <w:jc w:val="center"/>
        </w:trPr>
        <w:tc>
          <w:tcPr>
            <w:tcW w:w="3421" w:type="dxa"/>
            <w:shd w:val="clear" w:color="auto" w:fill="0067B1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7960A3BC" w14:textId="77777777" w:rsidR="00077D6E" w:rsidRDefault="00000000">
            <w:pPr>
              <w:rPr>
                <w:rFonts w:hint="eastAsia"/>
              </w:rPr>
            </w:pPr>
            <w:r>
              <w:rPr>
                <w:b/>
                <w:color w:val="FFFFFF"/>
              </w:rPr>
              <w:t>Parametr</w:t>
            </w:r>
          </w:p>
        </w:tc>
        <w:tc>
          <w:tcPr>
            <w:tcW w:w="3421" w:type="dxa"/>
            <w:shd w:val="clear" w:color="auto" w:fill="0067B1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0B76509F" w14:textId="77777777" w:rsidR="00077D6E" w:rsidRDefault="00000000">
            <w:pPr>
              <w:rPr>
                <w:rFonts w:hint="eastAsia"/>
              </w:rPr>
            </w:pPr>
            <w:r>
              <w:rPr>
                <w:b/>
                <w:color w:val="FFFFFF"/>
              </w:rPr>
              <w:t>Kryterium</w:t>
            </w:r>
          </w:p>
        </w:tc>
        <w:tc>
          <w:tcPr>
            <w:tcW w:w="3421" w:type="dxa"/>
            <w:shd w:val="clear" w:color="auto" w:fill="0067B1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54FF97D6" w14:textId="77777777" w:rsidR="00077D6E" w:rsidRDefault="00000000">
            <w:pPr>
              <w:rPr>
                <w:rFonts w:hint="eastAsia"/>
              </w:rPr>
            </w:pPr>
            <w:r>
              <w:rPr>
                <w:b/>
                <w:color w:val="FFFFFF"/>
              </w:rPr>
              <w:t>Zakres wyników</w:t>
            </w:r>
          </w:p>
        </w:tc>
      </w:tr>
      <w:tr w:rsidR="00077D6E" w14:paraId="3AFA459F" w14:textId="77777777">
        <w:trPr>
          <w:jc w:val="center"/>
        </w:trPr>
        <w:tc>
          <w:tcPr>
            <w:tcW w:w="4535" w:type="dxa"/>
            <w:tcMar>
              <w:top w:w="75" w:type="dxa"/>
              <w:left w:w="110" w:type="dxa"/>
              <w:bottom w:w="75" w:type="dxa"/>
              <w:right w:w="110" w:type="dxa"/>
            </w:tcMar>
          </w:tcPr>
          <w:p w14:paraId="3EE0A3E5" w14:textId="77777777" w:rsidR="00077D6E" w:rsidRDefault="00000000">
            <w:pPr>
              <w:spacing w:after="0"/>
              <w:rPr>
                <w:rFonts w:hint="eastAsia"/>
              </w:rPr>
            </w:pPr>
            <w:r>
              <w:t>Wskaźnik zagęszczenia Is</w:t>
            </w:r>
          </w:p>
        </w:tc>
        <w:tc>
          <w:tcPr>
            <w:tcW w:w="2608" w:type="dxa"/>
            <w:tcMar>
              <w:top w:w="75" w:type="dxa"/>
              <w:left w:w="110" w:type="dxa"/>
              <w:bottom w:w="75" w:type="dxa"/>
              <w:right w:w="110" w:type="dxa"/>
            </w:tcMar>
          </w:tcPr>
          <w:p w14:paraId="4AFC597D" w14:textId="77777777" w:rsidR="00077D6E" w:rsidRDefault="00000000">
            <w:pPr>
              <w:spacing w:after="0"/>
              <w:jc w:val="center"/>
              <w:rPr>
                <w:rFonts w:hint="eastAsia"/>
              </w:rPr>
            </w:pPr>
            <w:r>
              <w:t>≥ 0,98</w:t>
            </w:r>
          </w:p>
        </w:tc>
        <w:tc>
          <w:tcPr>
            <w:tcW w:w="2948" w:type="dxa"/>
            <w:tcMar>
              <w:top w:w="75" w:type="dxa"/>
              <w:left w:w="110" w:type="dxa"/>
              <w:bottom w:w="75" w:type="dxa"/>
              <w:right w:w="110" w:type="dxa"/>
            </w:tcMar>
          </w:tcPr>
          <w:p w14:paraId="4E01ED52" w14:textId="77777777" w:rsidR="00077D6E" w:rsidRDefault="00000000">
            <w:pPr>
              <w:spacing w:after="0"/>
              <w:jc w:val="center"/>
              <w:rPr>
                <w:rFonts w:hint="eastAsia"/>
              </w:rPr>
            </w:pPr>
            <w:r>
              <w:t>0,985-1,000</w:t>
            </w:r>
          </w:p>
        </w:tc>
      </w:tr>
      <w:tr w:rsidR="00077D6E" w14:paraId="0D09896C" w14:textId="77777777">
        <w:trPr>
          <w:jc w:val="center"/>
        </w:trPr>
        <w:tc>
          <w:tcPr>
            <w:tcW w:w="4535" w:type="dxa"/>
            <w:shd w:val="clear" w:color="auto" w:fill="F3F7F9"/>
            <w:tcMar>
              <w:top w:w="75" w:type="dxa"/>
              <w:left w:w="110" w:type="dxa"/>
              <w:bottom w:w="75" w:type="dxa"/>
              <w:right w:w="110" w:type="dxa"/>
            </w:tcMar>
          </w:tcPr>
          <w:p w14:paraId="2E4DAEA4" w14:textId="77777777" w:rsidR="00077D6E" w:rsidRDefault="00000000">
            <w:pPr>
              <w:spacing w:after="0"/>
              <w:rPr>
                <w:rFonts w:hint="eastAsia"/>
              </w:rPr>
            </w:pPr>
            <w:r>
              <w:t>Wskaźnik odkształcenia Io</w:t>
            </w:r>
          </w:p>
        </w:tc>
        <w:tc>
          <w:tcPr>
            <w:tcW w:w="2608" w:type="dxa"/>
            <w:shd w:val="clear" w:color="auto" w:fill="F3F7F9"/>
            <w:tcMar>
              <w:top w:w="75" w:type="dxa"/>
              <w:left w:w="110" w:type="dxa"/>
              <w:bottom w:w="75" w:type="dxa"/>
              <w:right w:w="110" w:type="dxa"/>
            </w:tcMar>
          </w:tcPr>
          <w:p w14:paraId="7531A729" w14:textId="77777777" w:rsidR="00077D6E" w:rsidRDefault="00000000">
            <w:pPr>
              <w:spacing w:after="0"/>
              <w:jc w:val="center"/>
              <w:rPr>
                <w:rFonts w:hint="eastAsia"/>
              </w:rPr>
            </w:pPr>
            <w:r>
              <w:t>&lt; 3,0</w:t>
            </w:r>
          </w:p>
        </w:tc>
        <w:tc>
          <w:tcPr>
            <w:tcW w:w="2948" w:type="dxa"/>
            <w:shd w:val="clear" w:color="auto" w:fill="F3F7F9"/>
            <w:tcMar>
              <w:top w:w="75" w:type="dxa"/>
              <w:left w:w="110" w:type="dxa"/>
              <w:bottom w:w="75" w:type="dxa"/>
              <w:right w:w="110" w:type="dxa"/>
            </w:tcMar>
          </w:tcPr>
          <w:p w14:paraId="0CE6CB15" w14:textId="77777777" w:rsidR="00077D6E" w:rsidRDefault="00000000">
            <w:pPr>
              <w:spacing w:after="0"/>
              <w:jc w:val="center"/>
              <w:rPr>
                <w:rFonts w:hint="eastAsia"/>
              </w:rPr>
            </w:pPr>
            <w:r>
              <w:t>1,75-2,55</w:t>
            </w:r>
          </w:p>
        </w:tc>
      </w:tr>
      <w:tr w:rsidR="00077D6E" w14:paraId="2717756B" w14:textId="77777777">
        <w:trPr>
          <w:jc w:val="center"/>
        </w:trPr>
        <w:tc>
          <w:tcPr>
            <w:tcW w:w="4535" w:type="dxa"/>
            <w:tcMar>
              <w:top w:w="75" w:type="dxa"/>
              <w:left w:w="110" w:type="dxa"/>
              <w:bottom w:w="75" w:type="dxa"/>
              <w:right w:w="110" w:type="dxa"/>
            </w:tcMar>
          </w:tcPr>
          <w:p w14:paraId="41E9AED4" w14:textId="77777777" w:rsidR="00077D6E" w:rsidRDefault="00000000">
            <w:pPr>
              <w:spacing w:after="0"/>
              <w:rPr>
                <w:rFonts w:hint="eastAsia"/>
              </w:rPr>
            </w:pPr>
            <w:r>
              <w:t>Moduł dynamiczny Evd</w:t>
            </w:r>
          </w:p>
        </w:tc>
        <w:tc>
          <w:tcPr>
            <w:tcW w:w="2608" w:type="dxa"/>
            <w:tcMar>
              <w:top w:w="75" w:type="dxa"/>
              <w:left w:w="110" w:type="dxa"/>
              <w:bottom w:w="75" w:type="dxa"/>
              <w:right w:w="110" w:type="dxa"/>
            </w:tcMar>
          </w:tcPr>
          <w:p w14:paraId="3CE4D681" w14:textId="77777777" w:rsidR="00077D6E" w:rsidRDefault="00000000">
            <w:pPr>
              <w:spacing w:after="0"/>
              <w:jc w:val="center"/>
              <w:rPr>
                <w:rFonts w:hint="eastAsia"/>
              </w:rPr>
            </w:pPr>
            <w:r>
              <w:t>≥ 60 MPa</w:t>
            </w:r>
          </w:p>
        </w:tc>
        <w:tc>
          <w:tcPr>
            <w:tcW w:w="2948" w:type="dxa"/>
            <w:tcMar>
              <w:top w:w="75" w:type="dxa"/>
              <w:left w:w="110" w:type="dxa"/>
              <w:bottom w:w="75" w:type="dxa"/>
              <w:right w:w="110" w:type="dxa"/>
            </w:tcMar>
          </w:tcPr>
          <w:p w14:paraId="3205E463" w14:textId="77777777" w:rsidR="00077D6E" w:rsidRDefault="00000000">
            <w:pPr>
              <w:spacing w:after="0"/>
              <w:jc w:val="center"/>
              <w:rPr>
                <w:rFonts w:hint="eastAsia"/>
              </w:rPr>
            </w:pPr>
            <w:r>
              <w:t>60-76 MPa</w:t>
            </w:r>
          </w:p>
        </w:tc>
      </w:tr>
      <w:tr w:rsidR="00077D6E" w14:paraId="38AD4508" w14:textId="77777777">
        <w:trPr>
          <w:jc w:val="center"/>
        </w:trPr>
        <w:tc>
          <w:tcPr>
            <w:tcW w:w="4535" w:type="dxa"/>
            <w:shd w:val="clear" w:color="auto" w:fill="F3F7F9"/>
            <w:tcMar>
              <w:top w:w="75" w:type="dxa"/>
              <w:left w:w="110" w:type="dxa"/>
              <w:bottom w:w="75" w:type="dxa"/>
              <w:right w:w="110" w:type="dxa"/>
            </w:tcMar>
          </w:tcPr>
          <w:p w14:paraId="4A006057" w14:textId="77777777" w:rsidR="00077D6E" w:rsidRDefault="00000000">
            <w:pPr>
              <w:spacing w:after="0"/>
              <w:rPr>
                <w:rFonts w:hint="eastAsia"/>
              </w:rPr>
            </w:pPr>
            <w:r>
              <w:t>Wtórny moduł E2</w:t>
            </w:r>
          </w:p>
        </w:tc>
        <w:tc>
          <w:tcPr>
            <w:tcW w:w="2608" w:type="dxa"/>
            <w:shd w:val="clear" w:color="auto" w:fill="F3F7F9"/>
            <w:tcMar>
              <w:top w:w="75" w:type="dxa"/>
              <w:left w:w="110" w:type="dxa"/>
              <w:bottom w:w="75" w:type="dxa"/>
              <w:right w:w="110" w:type="dxa"/>
            </w:tcMar>
          </w:tcPr>
          <w:p w14:paraId="0B7CB49D" w14:textId="77777777" w:rsidR="00077D6E" w:rsidRDefault="00000000">
            <w:pPr>
              <w:spacing w:after="0"/>
              <w:jc w:val="center"/>
              <w:rPr>
                <w:rFonts w:hint="eastAsia"/>
              </w:rPr>
            </w:pPr>
            <w:r>
              <w:t>≥ 100 MPa</w:t>
            </w:r>
          </w:p>
        </w:tc>
        <w:tc>
          <w:tcPr>
            <w:tcW w:w="2948" w:type="dxa"/>
            <w:shd w:val="clear" w:color="auto" w:fill="F3F7F9"/>
            <w:tcMar>
              <w:top w:w="75" w:type="dxa"/>
              <w:left w:w="110" w:type="dxa"/>
              <w:bottom w:w="75" w:type="dxa"/>
              <w:right w:w="110" w:type="dxa"/>
            </w:tcMar>
          </w:tcPr>
          <w:p w14:paraId="4A2997B1" w14:textId="77777777" w:rsidR="00077D6E" w:rsidRDefault="00000000">
            <w:pPr>
              <w:spacing w:after="0"/>
              <w:jc w:val="center"/>
              <w:rPr>
                <w:rFonts w:hint="eastAsia"/>
              </w:rPr>
            </w:pPr>
            <w:r>
              <w:t>101-113 MPa</w:t>
            </w:r>
          </w:p>
        </w:tc>
      </w:tr>
      <w:tr w:rsidR="00077D6E" w14:paraId="59FC1FCB" w14:textId="77777777">
        <w:trPr>
          <w:jc w:val="center"/>
        </w:trPr>
        <w:tc>
          <w:tcPr>
            <w:tcW w:w="4535" w:type="dxa"/>
            <w:tcMar>
              <w:top w:w="75" w:type="dxa"/>
              <w:left w:w="110" w:type="dxa"/>
              <w:bottom w:w="75" w:type="dxa"/>
              <w:right w:w="110" w:type="dxa"/>
            </w:tcMar>
          </w:tcPr>
          <w:p w14:paraId="6A3E14AD" w14:textId="77777777" w:rsidR="00077D6E" w:rsidRDefault="00000000">
            <w:pPr>
              <w:spacing w:after="0"/>
              <w:rPr>
                <w:rFonts w:hint="eastAsia"/>
              </w:rPr>
            </w:pPr>
            <w:r>
              <w:t>Wytrzymałość R7</w:t>
            </w:r>
          </w:p>
        </w:tc>
        <w:tc>
          <w:tcPr>
            <w:tcW w:w="2608" w:type="dxa"/>
            <w:tcMar>
              <w:top w:w="75" w:type="dxa"/>
              <w:left w:w="110" w:type="dxa"/>
              <w:bottom w:w="75" w:type="dxa"/>
              <w:right w:w="110" w:type="dxa"/>
            </w:tcMar>
          </w:tcPr>
          <w:p w14:paraId="6AAC29B4" w14:textId="77777777" w:rsidR="00077D6E" w:rsidRDefault="00000000">
            <w:pPr>
              <w:spacing w:after="0"/>
              <w:jc w:val="center"/>
              <w:rPr>
                <w:rFonts w:hint="eastAsia"/>
              </w:rPr>
            </w:pPr>
            <w:r>
              <w:t>≥ 1,5 MPa</w:t>
            </w:r>
          </w:p>
        </w:tc>
        <w:tc>
          <w:tcPr>
            <w:tcW w:w="2948" w:type="dxa"/>
            <w:tcMar>
              <w:top w:w="75" w:type="dxa"/>
              <w:left w:w="110" w:type="dxa"/>
              <w:bottom w:w="75" w:type="dxa"/>
              <w:right w:w="110" w:type="dxa"/>
            </w:tcMar>
          </w:tcPr>
          <w:p w14:paraId="69C8DE11" w14:textId="77777777" w:rsidR="00077D6E" w:rsidRDefault="00000000">
            <w:pPr>
              <w:spacing w:after="0"/>
              <w:jc w:val="center"/>
              <w:rPr>
                <w:rFonts w:hint="eastAsia"/>
              </w:rPr>
            </w:pPr>
            <w:r>
              <w:t>2,3-3,7 MPa</w:t>
            </w:r>
          </w:p>
        </w:tc>
      </w:tr>
      <w:tr w:rsidR="00077D6E" w14:paraId="384DD361" w14:textId="77777777">
        <w:trPr>
          <w:jc w:val="center"/>
        </w:trPr>
        <w:tc>
          <w:tcPr>
            <w:tcW w:w="4535" w:type="dxa"/>
            <w:shd w:val="clear" w:color="auto" w:fill="F3F7F9"/>
            <w:tcMar>
              <w:top w:w="75" w:type="dxa"/>
              <w:left w:w="110" w:type="dxa"/>
              <w:bottom w:w="75" w:type="dxa"/>
              <w:right w:w="110" w:type="dxa"/>
            </w:tcMar>
          </w:tcPr>
          <w:p w14:paraId="385CA4FC" w14:textId="77777777" w:rsidR="00077D6E" w:rsidRDefault="00000000">
            <w:pPr>
              <w:spacing w:after="0"/>
              <w:rPr>
                <w:rFonts w:hint="eastAsia"/>
              </w:rPr>
            </w:pPr>
            <w:r>
              <w:t>Wytrzymałość R28</w:t>
            </w:r>
          </w:p>
        </w:tc>
        <w:tc>
          <w:tcPr>
            <w:tcW w:w="2608" w:type="dxa"/>
            <w:shd w:val="clear" w:color="auto" w:fill="F3F7F9"/>
            <w:tcMar>
              <w:top w:w="75" w:type="dxa"/>
              <w:left w:w="110" w:type="dxa"/>
              <w:bottom w:w="75" w:type="dxa"/>
              <w:right w:w="110" w:type="dxa"/>
            </w:tcMar>
          </w:tcPr>
          <w:p w14:paraId="55322326" w14:textId="77777777" w:rsidR="00077D6E" w:rsidRDefault="00000000">
            <w:pPr>
              <w:spacing w:after="0"/>
              <w:jc w:val="center"/>
              <w:rPr>
                <w:rFonts w:hint="eastAsia"/>
              </w:rPr>
            </w:pPr>
            <w:r>
              <w:t>≥ 2,5 MPa</w:t>
            </w:r>
          </w:p>
        </w:tc>
        <w:tc>
          <w:tcPr>
            <w:tcW w:w="2948" w:type="dxa"/>
            <w:shd w:val="clear" w:color="auto" w:fill="F3F7F9"/>
            <w:tcMar>
              <w:top w:w="75" w:type="dxa"/>
              <w:left w:w="110" w:type="dxa"/>
              <w:bottom w:w="75" w:type="dxa"/>
              <w:right w:w="110" w:type="dxa"/>
            </w:tcMar>
          </w:tcPr>
          <w:p w14:paraId="7F7B4D34" w14:textId="77777777" w:rsidR="00077D6E" w:rsidRDefault="00000000">
            <w:pPr>
              <w:spacing w:after="0"/>
              <w:jc w:val="center"/>
              <w:rPr>
                <w:rFonts w:hint="eastAsia"/>
              </w:rPr>
            </w:pPr>
            <w:r>
              <w:t>3,3-5,6 MPa</w:t>
            </w:r>
          </w:p>
        </w:tc>
      </w:tr>
    </w:tbl>
    <w:tbl>
      <w:tblPr>
        <w:tblW w:w="0" w:type="auto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10091"/>
      </w:tblGrid>
      <w:tr w:rsidR="00077D6E" w14:paraId="1AB07D49" w14:textId="77777777">
        <w:trPr>
          <w:jc w:val="center"/>
        </w:trPr>
        <w:tc>
          <w:tcPr>
            <w:tcW w:w="10091" w:type="dxa"/>
            <w:shd w:val="clear" w:color="auto" w:fill="5A8F29"/>
            <w:tcMar>
              <w:top w:w="180" w:type="dxa"/>
              <w:left w:w="220" w:type="dxa"/>
              <w:bottom w:w="180" w:type="dxa"/>
              <w:right w:w="220" w:type="dxa"/>
            </w:tcMar>
          </w:tcPr>
          <w:p w14:paraId="1CB30416" w14:textId="76C4B12F" w:rsidR="00077D6E" w:rsidRDefault="00000000">
            <w:pPr>
              <w:spacing w:after="0"/>
              <w:rPr>
                <w:rFonts w:hint="eastAsia"/>
              </w:rPr>
            </w:pPr>
            <w:proofErr w:type="spellStart"/>
            <w:r>
              <w:rPr>
                <w:b/>
                <w:color w:val="FFFFFF"/>
                <w:sz w:val="21"/>
              </w:rPr>
              <w:t>Efekt</w:t>
            </w:r>
            <w:proofErr w:type="spellEnd"/>
            <w:r>
              <w:rPr>
                <w:b/>
                <w:color w:val="FFFFFF"/>
                <w:sz w:val="21"/>
              </w:rPr>
              <w:t xml:space="preserve"> </w:t>
            </w:r>
            <w:proofErr w:type="spellStart"/>
            <w:r>
              <w:rPr>
                <w:b/>
                <w:color w:val="FFFFFF"/>
                <w:sz w:val="21"/>
              </w:rPr>
              <w:t>końcowy</w:t>
            </w:r>
            <w:proofErr w:type="spellEnd"/>
            <w:r>
              <w:rPr>
                <w:b/>
                <w:color w:val="FFFFFF"/>
                <w:sz w:val="21"/>
              </w:rPr>
              <w:t xml:space="preserve">: </w:t>
            </w:r>
            <w:proofErr w:type="spellStart"/>
            <w:r>
              <w:rPr>
                <w:b/>
                <w:color w:val="FFFFFF"/>
                <w:sz w:val="21"/>
              </w:rPr>
              <w:t>osiągnięto</w:t>
            </w:r>
            <w:proofErr w:type="spellEnd"/>
            <w:r w:rsidR="00B016D6">
              <w:rPr>
                <w:b/>
                <w:color w:val="FFFFFF"/>
                <w:sz w:val="21"/>
              </w:rPr>
              <w:t xml:space="preserve"> VIII</w:t>
            </w:r>
            <w:r>
              <w:rPr>
                <w:b/>
                <w:color w:val="FFFFFF"/>
                <w:sz w:val="21"/>
              </w:rPr>
              <w:t xml:space="preserve"> </w:t>
            </w:r>
            <w:proofErr w:type="spellStart"/>
            <w:r>
              <w:rPr>
                <w:b/>
                <w:color w:val="FFFFFF"/>
                <w:sz w:val="21"/>
              </w:rPr>
              <w:t>poziom</w:t>
            </w:r>
            <w:proofErr w:type="spellEnd"/>
            <w:r>
              <w:rPr>
                <w:b/>
                <w:color w:val="FFFFFF"/>
                <w:sz w:val="21"/>
              </w:rPr>
              <w:t xml:space="preserve"> </w:t>
            </w:r>
            <w:proofErr w:type="spellStart"/>
            <w:r>
              <w:rPr>
                <w:b/>
                <w:color w:val="FFFFFF"/>
                <w:sz w:val="21"/>
              </w:rPr>
              <w:t>gotowości</w:t>
            </w:r>
            <w:proofErr w:type="spellEnd"/>
            <w:r>
              <w:rPr>
                <w:b/>
                <w:color w:val="FFFFFF"/>
                <w:sz w:val="21"/>
              </w:rPr>
              <w:t xml:space="preserve"> </w:t>
            </w:r>
            <w:proofErr w:type="spellStart"/>
            <w:r>
              <w:rPr>
                <w:b/>
                <w:color w:val="FFFFFF"/>
                <w:sz w:val="21"/>
              </w:rPr>
              <w:t>technologicznej</w:t>
            </w:r>
            <w:proofErr w:type="spellEnd"/>
            <w:r>
              <w:rPr>
                <w:b/>
                <w:color w:val="FFFFFF"/>
                <w:sz w:val="21"/>
              </w:rPr>
              <w:t>. Opracowane rozwiązanie jest gotowe do pierwszych zastosowań wdrożeniowych z zachowaniem planu kontroli jakości.</w:t>
            </w:r>
          </w:p>
        </w:tc>
      </w:tr>
    </w:tbl>
    <w:p w14:paraId="7FC32352" w14:textId="77777777" w:rsidR="00077D6E" w:rsidRDefault="00077D6E">
      <w:pPr>
        <w:spacing w:after="0"/>
        <w:rPr>
          <w:rFonts w:hint="eastAsia"/>
        </w:rPr>
      </w:pPr>
    </w:p>
    <w:p w14:paraId="7C2EFDC4" w14:textId="77777777" w:rsidR="00077D6E" w:rsidRDefault="00000000">
      <w:pPr>
        <w:rPr>
          <w:rFonts w:hint="eastAsia"/>
        </w:rPr>
      </w:pPr>
      <w:r>
        <w:br w:type="page"/>
      </w:r>
    </w:p>
    <w:p w14:paraId="31CA4782" w14:textId="77777777" w:rsidR="00077D6E" w:rsidRDefault="00000000">
      <w:pPr>
        <w:pStyle w:val="Kicker"/>
        <w:rPr>
          <w:rFonts w:hint="eastAsia"/>
        </w:rPr>
      </w:pPr>
      <w:r>
        <w:rPr>
          <w:b w:val="0"/>
        </w:rPr>
        <w:lastRenderedPageBreak/>
        <w:t>KORZYŚCI DLA DRÓG I ŚRODOWISKA</w:t>
      </w:r>
    </w:p>
    <w:p w14:paraId="38261115" w14:textId="77777777" w:rsidR="00077D6E" w:rsidRDefault="00000000">
      <w:pPr>
        <w:spacing w:after="80"/>
        <w:rPr>
          <w:rFonts w:hint="eastAsia"/>
        </w:rPr>
      </w:pPr>
      <w:r>
        <w:rPr>
          <w:b/>
          <w:color w:val="17365D"/>
          <w:sz w:val="50"/>
        </w:rPr>
        <w:t>Rehabilitacja zamiast pełnej wymiany</w:t>
      </w:r>
    </w:p>
    <w:p w14:paraId="276A17B7" w14:textId="77777777" w:rsidR="00077D6E" w:rsidRDefault="00000000">
      <w:pPr>
        <w:pStyle w:val="Lead"/>
        <w:spacing w:after="200"/>
        <w:rPr>
          <w:rFonts w:hint="eastAsia"/>
        </w:rPr>
      </w:pPr>
      <w:r>
        <w:t>MGS łączy wymagania techniczne drogownictwa z praktycznym wykorzystaniem materiałów odpadowych.</w:t>
      </w:r>
    </w:p>
    <w:p w14:paraId="2C1C8D17" w14:textId="77777777" w:rsidR="00077D6E" w:rsidRDefault="00000000">
      <w:pPr>
        <w:jc w:val="center"/>
        <w:rPr>
          <w:rFonts w:hint="eastAsia"/>
        </w:rPr>
      </w:pPr>
      <w:r>
        <w:rPr>
          <w:noProof/>
        </w:rPr>
        <w:drawing>
          <wp:inline distT="0" distB="0" distL="0" distR="0" wp14:anchorId="6E816828" wp14:editId="7585BE0A">
            <wp:extent cx="6408000" cy="2975143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oad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408000" cy="2975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5D7B61" w14:textId="77777777" w:rsidR="00077D6E" w:rsidRDefault="00000000">
      <w:pPr>
        <w:pStyle w:val="Nagwek2"/>
        <w:spacing w:before="60"/>
      </w:pPr>
      <w:r>
        <w:rPr>
          <w:b w:val="0"/>
        </w:rPr>
        <w:t>Co daje technologia MGS?</w:t>
      </w:r>
    </w:p>
    <w:p w14:paraId="435311C7" w14:textId="77777777" w:rsidR="00077D6E" w:rsidRDefault="00000000">
      <w:pPr>
        <w:pStyle w:val="Listapunktowana"/>
        <w:tabs>
          <w:tab w:val="left" w:pos="595"/>
        </w:tabs>
        <w:spacing w:after="80" w:line="278" w:lineRule="auto"/>
        <w:ind w:left="595" w:hanging="238"/>
        <w:rPr>
          <w:rFonts w:hint="eastAsia"/>
        </w:rPr>
      </w:pPr>
      <w:r>
        <w:t>ponowne wykorzystanie gruzu betonowego i ceglanego oraz granulatu gumowego SBR;</w:t>
      </w:r>
    </w:p>
    <w:p w14:paraId="64DDDB74" w14:textId="77777777" w:rsidR="00077D6E" w:rsidRDefault="00000000">
      <w:pPr>
        <w:pStyle w:val="Listapunktowana"/>
        <w:tabs>
          <w:tab w:val="left" w:pos="595"/>
        </w:tabs>
        <w:spacing w:after="80" w:line="278" w:lineRule="auto"/>
        <w:ind w:left="595" w:hanging="238"/>
        <w:rPr>
          <w:rFonts w:hint="eastAsia"/>
        </w:rPr>
      </w:pPr>
      <w:r>
        <w:t>ograniczenie zapotrzebowania na kruszywa naturalne i transport nowych materiałów;</w:t>
      </w:r>
    </w:p>
    <w:p w14:paraId="2E38DB04" w14:textId="77777777" w:rsidR="00077D6E" w:rsidRDefault="00000000">
      <w:pPr>
        <w:pStyle w:val="Listapunktowana"/>
        <w:tabs>
          <w:tab w:val="left" w:pos="595"/>
        </w:tabs>
        <w:spacing w:after="80" w:line="278" w:lineRule="auto"/>
        <w:ind w:left="595" w:hanging="238"/>
        <w:rPr>
          <w:rFonts w:hint="eastAsia"/>
        </w:rPr>
      </w:pPr>
      <w:r>
        <w:t>wzmocnienie istniejących podbudów bez konieczności ich całkowitej wymiany;</w:t>
      </w:r>
    </w:p>
    <w:p w14:paraId="5636F52E" w14:textId="77777777" w:rsidR="00077D6E" w:rsidRDefault="00000000">
      <w:pPr>
        <w:pStyle w:val="Listapunktowana"/>
        <w:tabs>
          <w:tab w:val="left" w:pos="595"/>
        </w:tabs>
        <w:spacing w:after="80" w:line="278" w:lineRule="auto"/>
        <w:ind w:left="595" w:hanging="238"/>
        <w:rPr>
          <w:rFonts w:hint="eastAsia"/>
        </w:rPr>
      </w:pPr>
      <w:r>
        <w:t>uzyskanie wymaganej nośności, wytrzymałości i zagęszczenia warstwy pod warstwy bitumiczne;</w:t>
      </w:r>
    </w:p>
    <w:p w14:paraId="1568BF8E" w14:textId="77777777" w:rsidR="00077D6E" w:rsidRDefault="00000000">
      <w:pPr>
        <w:pStyle w:val="Listapunktowana"/>
        <w:tabs>
          <w:tab w:val="left" w:pos="595"/>
        </w:tabs>
        <w:spacing w:after="80" w:line="278" w:lineRule="auto"/>
        <w:ind w:left="595" w:hanging="238"/>
        <w:rPr>
          <w:rFonts w:hint="eastAsia"/>
        </w:rPr>
      </w:pPr>
      <w:r>
        <w:t>możliwość dopasowania technologii do różnych typów podłoża i istniejących konstrukcji dróg samorządowych.</w:t>
      </w:r>
    </w:p>
    <w:tbl>
      <w:tblPr>
        <w:tblW w:w="0" w:type="auto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10091"/>
      </w:tblGrid>
      <w:tr w:rsidR="00077D6E" w14:paraId="25B10B95" w14:textId="77777777">
        <w:trPr>
          <w:jc w:val="center"/>
        </w:trPr>
        <w:tc>
          <w:tcPr>
            <w:tcW w:w="10091" w:type="dxa"/>
            <w:shd w:val="clear" w:color="auto" w:fill="0067B1"/>
            <w:tcMar>
              <w:top w:w="180" w:type="dxa"/>
              <w:left w:w="220" w:type="dxa"/>
              <w:bottom w:w="180" w:type="dxa"/>
              <w:right w:w="220" w:type="dxa"/>
            </w:tcMar>
          </w:tcPr>
          <w:p w14:paraId="6E8955E4" w14:textId="77777777" w:rsidR="00077D6E" w:rsidRDefault="00000000">
            <w:pPr>
              <w:spacing w:after="0"/>
              <w:rPr>
                <w:rFonts w:hint="eastAsia"/>
              </w:rPr>
            </w:pPr>
            <w:r>
              <w:rPr>
                <w:b/>
                <w:color w:val="FFFFFF"/>
                <w:sz w:val="22"/>
              </w:rPr>
              <w:t>Dzięki wsparciu Funduszy Europejskich pomysł oparty na gospodarce obiegu zamkniętego został rozwinięty, przebadany i doprowadzony do postaci technologii gotowej do wdrożenia.</w:t>
            </w:r>
          </w:p>
        </w:tc>
      </w:tr>
    </w:tbl>
    <w:p w14:paraId="1416216F" w14:textId="77777777" w:rsidR="00077D6E" w:rsidRDefault="00077D6E">
      <w:pPr>
        <w:spacing w:after="0"/>
        <w:rPr>
          <w:rFonts w:hint="eastAsia"/>
        </w:rPr>
      </w:pPr>
    </w:p>
    <w:p w14:paraId="300D4BAF" w14:textId="77777777" w:rsidR="00077D6E" w:rsidRDefault="00000000">
      <w:pPr>
        <w:pStyle w:val="Nagwek3"/>
        <w:spacing w:before="40" w:after="80"/>
        <w:jc w:val="center"/>
      </w:pPr>
      <w:r>
        <w:rPr>
          <w:b w:val="0"/>
        </w:rPr>
        <w:t>Beneficjent: ANODOS Sp. z o.o.  |  www.anodos.pl</w:t>
      </w:r>
    </w:p>
    <w:p w14:paraId="091D406F" w14:textId="77777777" w:rsidR="00077D6E" w:rsidRDefault="00000000">
      <w:pPr>
        <w:jc w:val="center"/>
        <w:rPr>
          <w:rFonts w:hint="eastAsia"/>
        </w:rPr>
      </w:pPr>
      <w:r>
        <w:rPr>
          <w:noProof/>
        </w:rPr>
        <w:drawing>
          <wp:inline distT="0" distB="0" distL="0" distR="0" wp14:anchorId="26D87B0C" wp14:editId="59F5471C">
            <wp:extent cx="6192000" cy="776555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52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92000" cy="776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3D9D38" w14:textId="77777777" w:rsidR="00077D6E" w:rsidRDefault="00000000">
      <w:pPr>
        <w:pStyle w:val="Small"/>
        <w:spacing w:after="0"/>
        <w:jc w:val="center"/>
        <w:rPr>
          <w:rFonts w:hint="eastAsia"/>
        </w:rPr>
      </w:pPr>
      <w:r>
        <w:t>Program: Fundusze Europejskie dla Mazowsza 2021-2027  |  Priorytet: Fundusze Europejskie dla bardziej konkurencyjnego i inteligentnego Mazowsza  |  Działanie: Badania, rozwój i innowacje przedsiębiorstw  |  Fundusz: Europejski Fundusz Rozwoju Regionalnego</w:t>
      </w:r>
    </w:p>
    <w:sectPr w:rsidR="00077D6E" w:rsidSect="00034616">
      <w:footerReference w:type="default" r:id="rId15"/>
      <w:pgSz w:w="11906" w:h="16838"/>
      <w:pgMar w:top="765" w:right="822" w:bottom="709" w:left="822" w:header="255" w:footer="25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828581" w14:textId="77777777" w:rsidR="00845FBF" w:rsidRDefault="00845FBF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584C4312" w14:textId="77777777" w:rsidR="00845FBF" w:rsidRDefault="00845FBF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D1AC26" w14:textId="77777777" w:rsidR="00077D6E" w:rsidRDefault="00000000">
    <w:pPr>
      <w:pStyle w:val="Stopka"/>
      <w:spacing w:before="60"/>
      <w:jc w:val="center"/>
      <w:rPr>
        <w:rFonts w:hint="eastAsia"/>
      </w:rPr>
    </w:pPr>
    <w:r>
      <w:rPr>
        <w:color w:val="5F6B73"/>
        <w:sz w:val="15"/>
      </w:rPr>
      <w:t xml:space="preserve">ANODOS Sp. z </w:t>
    </w:r>
    <w:proofErr w:type="spellStart"/>
    <w:r>
      <w:rPr>
        <w:color w:val="5F6B73"/>
        <w:sz w:val="15"/>
      </w:rPr>
      <w:t>o.o.</w:t>
    </w:r>
    <w:proofErr w:type="spellEnd"/>
    <w:r>
      <w:rPr>
        <w:color w:val="5F6B73"/>
        <w:sz w:val="15"/>
      </w:rPr>
      <w:t xml:space="preserve">  |  FEMA.01.01-IP.01-02HK/24  |  </w:t>
    </w:r>
    <w:r>
      <w:fldChar w:fldCharType="begin"/>
    </w:r>
    <w:r>
      <w:instrText>PAGE</w:instrText>
    </w:r>
    <w:r>
      <w:rPr>
        <w:rFonts w:hint="eastAsia"/>
      </w:rPr>
      <w:fldChar w:fldCharType="separate"/>
    </w:r>
    <w:r w:rsidR="00B016D6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F87A4F" w14:textId="77777777" w:rsidR="00845FBF" w:rsidRDefault="00845FBF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5F1D8EF1" w14:textId="77777777" w:rsidR="00845FBF" w:rsidRDefault="00845FBF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956403222">
    <w:abstractNumId w:val="8"/>
  </w:num>
  <w:num w:numId="2" w16cid:durableId="1235816071">
    <w:abstractNumId w:val="6"/>
  </w:num>
  <w:num w:numId="3" w16cid:durableId="1917857011">
    <w:abstractNumId w:val="5"/>
  </w:num>
  <w:num w:numId="4" w16cid:durableId="1976061416">
    <w:abstractNumId w:val="4"/>
  </w:num>
  <w:num w:numId="5" w16cid:durableId="1902016842">
    <w:abstractNumId w:val="7"/>
  </w:num>
  <w:num w:numId="6" w16cid:durableId="1329401828">
    <w:abstractNumId w:val="3"/>
  </w:num>
  <w:num w:numId="7" w16cid:durableId="1225410564">
    <w:abstractNumId w:val="2"/>
  </w:num>
  <w:num w:numId="8" w16cid:durableId="452288213">
    <w:abstractNumId w:val="1"/>
  </w:num>
  <w:num w:numId="9" w16cid:durableId="4885238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77D6E"/>
    <w:rsid w:val="0015074B"/>
    <w:rsid w:val="0029639D"/>
    <w:rsid w:val="00326F90"/>
    <w:rsid w:val="004E4830"/>
    <w:rsid w:val="00845FBF"/>
    <w:rsid w:val="00AA1D8D"/>
    <w:rsid w:val="00B016D6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02B55C0"/>
  <w14:defaultImageDpi w14:val="300"/>
  <w15:docId w15:val="{B7BBA497-7F1C-4328-BF74-3F530E2C2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pPr>
      <w:spacing w:after="100" w:line="281" w:lineRule="auto"/>
    </w:pPr>
    <w:rPr>
      <w:rFonts w:ascii="Aptos" w:hAnsi="Aptos"/>
      <w:color w:val="1E2A31"/>
      <w:sz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/>
      <w:b/>
      <w:bCs/>
      <w:color w:val="0067B1"/>
      <w:sz w:val="32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/>
      <w:b/>
      <w:bCs/>
      <w:color w:val="0067B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17365D"/>
      <w:sz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Kicker">
    <w:name w:val="Kicker"/>
    <w:pPr>
      <w:spacing w:after="80" w:line="259" w:lineRule="auto"/>
    </w:pPr>
    <w:rPr>
      <w:rFonts w:ascii="Aptos" w:hAnsi="Aptos"/>
      <w:b/>
      <w:color w:val="00A6D6"/>
      <w:sz w:val="18"/>
    </w:rPr>
  </w:style>
  <w:style w:type="paragraph" w:customStyle="1" w:styleId="Lead">
    <w:name w:val="Lead"/>
    <w:pPr>
      <w:spacing w:after="80" w:line="259" w:lineRule="auto"/>
    </w:pPr>
    <w:rPr>
      <w:rFonts w:ascii="Aptos" w:hAnsi="Aptos"/>
      <w:color w:val="17365D"/>
      <w:sz w:val="26"/>
    </w:rPr>
  </w:style>
  <w:style w:type="paragraph" w:customStyle="1" w:styleId="Metric">
    <w:name w:val="Metric"/>
    <w:pPr>
      <w:spacing w:after="80" w:line="259" w:lineRule="auto"/>
    </w:pPr>
    <w:rPr>
      <w:rFonts w:ascii="Aptos" w:hAnsi="Aptos"/>
      <w:b/>
      <w:color w:val="0067B1"/>
      <w:sz w:val="44"/>
    </w:rPr>
  </w:style>
  <w:style w:type="paragraph" w:customStyle="1" w:styleId="MetricLabel">
    <w:name w:val="Metric Label"/>
    <w:pPr>
      <w:spacing w:after="80" w:line="259" w:lineRule="auto"/>
    </w:pPr>
    <w:rPr>
      <w:rFonts w:ascii="Aptos" w:hAnsi="Aptos"/>
      <w:b/>
      <w:color w:val="5F6B73"/>
      <w:sz w:val="16"/>
    </w:rPr>
  </w:style>
  <w:style w:type="paragraph" w:customStyle="1" w:styleId="Small">
    <w:name w:val="Small"/>
    <w:pPr>
      <w:spacing w:after="80" w:line="259" w:lineRule="auto"/>
    </w:pPr>
    <w:rPr>
      <w:rFonts w:ascii="Aptos" w:hAnsi="Aptos"/>
      <w:color w:val="5F6B73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jp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530</Words>
  <Characters>3180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3703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Ekologiczna mieszanka MGS - broszura informacyjna</dc:title>
  <dc:subject>Projekt FEMA.01.01-IP.01-02HK/24</dc:subject>
  <dc:creator>ANODOS Sp. z o.o.</dc:creator>
  <cp:keywords>MGS, Fundusze Europejskie, EFRR, drogi samorządowe, recykling</cp:keywords>
  <dc:description>generated by python-docx</dc:description>
  <cp:lastModifiedBy>Krzysztof Gaworecki</cp:lastModifiedBy>
  <cp:revision>2</cp:revision>
  <dcterms:created xsi:type="dcterms:W3CDTF">2013-12-23T23:15:00Z</dcterms:created>
  <dcterms:modified xsi:type="dcterms:W3CDTF">2026-08-21T22:33:00Z</dcterms:modified>
  <cp:category/>
</cp:coreProperties>
</file>